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6F3840" w14:textId="77777777" w:rsidR="00F35D26" w:rsidRDefault="00F35D26" w:rsidP="00F35D26">
      <w:pPr>
        <w:pStyle w:val="NormalWeb"/>
        <w:spacing w:before="0" w:beforeAutospacing="0" w:after="200" w:afterAutospacing="0"/>
        <w:rPr>
          <w:rFonts w:eastAsia="Calibri"/>
          <w:color w:val="000000" w:themeColor="text1"/>
          <w:kern w:val="24"/>
        </w:rPr>
      </w:pPr>
      <w:r>
        <w:rPr>
          <w:rFonts w:eastAsia="Calibri"/>
          <w:color w:val="000000" w:themeColor="text1"/>
          <w:kern w:val="24"/>
        </w:rPr>
        <w:t xml:space="preserve">Figure S4. Relationship between (a) </w:t>
      </w:r>
      <w:r>
        <w:rPr>
          <w:rFonts w:eastAsia="Calibri"/>
          <w:i/>
          <w:iCs/>
          <w:color w:val="000000" w:themeColor="text1"/>
          <w:kern w:val="24"/>
        </w:rPr>
        <w:t xml:space="preserve">Synechococcus </w:t>
      </w:r>
      <w:r>
        <w:rPr>
          <w:rFonts w:eastAsia="Calibri"/>
          <w:color w:val="000000" w:themeColor="text1"/>
          <w:kern w:val="24"/>
        </w:rPr>
        <w:t>cell abundance (cells L</w:t>
      </w:r>
      <w:r>
        <w:rPr>
          <w:rFonts w:eastAsia="Calibri"/>
          <w:color w:val="000000" w:themeColor="text1"/>
          <w:kern w:val="24"/>
          <w:position w:val="7"/>
          <w:vertAlign w:val="superscript"/>
        </w:rPr>
        <w:t>-1</w:t>
      </w:r>
      <w:r>
        <w:rPr>
          <w:rFonts w:eastAsia="Calibri"/>
          <w:color w:val="000000" w:themeColor="text1"/>
          <w:kern w:val="24"/>
        </w:rPr>
        <w:t xml:space="preserve">) and PhoA (total spectral counts), (b) </w:t>
      </w:r>
      <w:r>
        <w:rPr>
          <w:rFonts w:eastAsia="Calibri"/>
          <w:i/>
          <w:iCs/>
          <w:color w:val="000000" w:themeColor="text1"/>
          <w:kern w:val="24"/>
        </w:rPr>
        <w:t xml:space="preserve">Synechococcus </w:t>
      </w:r>
      <w:r>
        <w:rPr>
          <w:rFonts w:eastAsia="Calibri"/>
          <w:color w:val="000000" w:themeColor="text1"/>
          <w:kern w:val="24"/>
        </w:rPr>
        <w:t>cell abundance (cells L</w:t>
      </w:r>
      <w:r>
        <w:rPr>
          <w:rFonts w:eastAsia="Calibri"/>
          <w:color w:val="000000" w:themeColor="text1"/>
          <w:kern w:val="24"/>
          <w:position w:val="7"/>
          <w:vertAlign w:val="superscript"/>
        </w:rPr>
        <w:t>-1</w:t>
      </w:r>
      <w:r>
        <w:rPr>
          <w:rFonts w:eastAsia="Calibri"/>
          <w:color w:val="000000" w:themeColor="text1"/>
          <w:kern w:val="24"/>
        </w:rPr>
        <w:t xml:space="preserve">) and concentrations of dissolved organic phosphorus (DOP, nM) and (c) </w:t>
      </w:r>
      <w:r>
        <w:rPr>
          <w:rFonts w:eastAsia="Calibri"/>
          <w:i/>
          <w:iCs/>
          <w:color w:val="000000" w:themeColor="text1"/>
          <w:kern w:val="24"/>
        </w:rPr>
        <w:t xml:space="preserve">Synechococcus </w:t>
      </w:r>
      <w:r>
        <w:rPr>
          <w:rFonts w:eastAsia="Calibri"/>
          <w:color w:val="000000" w:themeColor="text1"/>
          <w:kern w:val="24"/>
        </w:rPr>
        <w:t>cell abundance (cells L</w:t>
      </w:r>
      <w:r>
        <w:rPr>
          <w:rFonts w:eastAsia="Calibri"/>
          <w:color w:val="000000" w:themeColor="text1"/>
          <w:kern w:val="24"/>
          <w:position w:val="7"/>
          <w:vertAlign w:val="superscript"/>
        </w:rPr>
        <w:t>-1</w:t>
      </w:r>
      <w:proofErr w:type="gramStart"/>
      <w:r>
        <w:rPr>
          <w:rFonts w:eastAsia="Calibri"/>
          <w:color w:val="000000" w:themeColor="text1"/>
          <w:kern w:val="24"/>
        </w:rPr>
        <w:t>)  and</w:t>
      </w:r>
      <w:proofErr w:type="gramEnd"/>
      <w:r>
        <w:rPr>
          <w:rFonts w:eastAsia="Calibri"/>
          <w:color w:val="000000" w:themeColor="text1"/>
          <w:kern w:val="24"/>
        </w:rPr>
        <w:t xml:space="preserve"> </w:t>
      </w:r>
      <w:proofErr w:type="spellStart"/>
      <w:r>
        <w:rPr>
          <w:rFonts w:eastAsia="Calibri"/>
          <w:color w:val="000000" w:themeColor="text1"/>
          <w:kern w:val="24"/>
        </w:rPr>
        <w:t>and</w:t>
      </w:r>
      <w:proofErr w:type="spellEnd"/>
      <w:r>
        <w:rPr>
          <w:rFonts w:eastAsia="Calibri"/>
          <w:color w:val="000000" w:themeColor="text1"/>
          <w:kern w:val="24"/>
        </w:rPr>
        <w:t xml:space="preserve"> alkaline phosphatase activity (AP, nM d</w:t>
      </w:r>
      <w:r>
        <w:rPr>
          <w:rFonts w:eastAsia="Calibri"/>
          <w:color w:val="000000" w:themeColor="text1"/>
          <w:kern w:val="24"/>
          <w:position w:val="7"/>
          <w:vertAlign w:val="superscript"/>
        </w:rPr>
        <w:t>-1</w:t>
      </w:r>
      <w:r>
        <w:rPr>
          <w:rFonts w:eastAsia="Calibri"/>
          <w:color w:val="000000" w:themeColor="text1"/>
          <w:kern w:val="24"/>
        </w:rPr>
        <w:t>).  The R</w:t>
      </w:r>
      <w:r>
        <w:rPr>
          <w:rFonts w:eastAsia="Calibri"/>
          <w:color w:val="000000" w:themeColor="text1"/>
          <w:kern w:val="24"/>
          <w:position w:val="7"/>
          <w:vertAlign w:val="superscript"/>
        </w:rPr>
        <w:t>2</w:t>
      </w:r>
      <w:r>
        <w:rPr>
          <w:rFonts w:eastAsia="Calibri"/>
          <w:color w:val="000000" w:themeColor="text1"/>
          <w:kern w:val="24"/>
          <w:position w:val="-6"/>
          <w:vertAlign w:val="subscript"/>
        </w:rPr>
        <w:t xml:space="preserve"> </w:t>
      </w:r>
      <w:r>
        <w:rPr>
          <w:rFonts w:eastAsia="Calibri"/>
          <w:color w:val="000000" w:themeColor="text1"/>
          <w:kern w:val="24"/>
        </w:rPr>
        <w:t xml:space="preserve">value and p-values are reported and indicate no significant relationship between properties. </w:t>
      </w:r>
    </w:p>
    <w:p w14:paraId="5729AA48" w14:textId="77777777" w:rsidR="00F35D26" w:rsidRDefault="00F35D26" w:rsidP="00F35D26">
      <w:pPr>
        <w:pStyle w:val="NormalWeb"/>
        <w:spacing w:before="0" w:beforeAutospacing="0" w:after="200" w:afterAutospacing="0"/>
        <w:rPr>
          <w:rFonts w:eastAsia="Calibri"/>
          <w:color w:val="000000" w:themeColor="text1"/>
          <w:kern w:val="24"/>
        </w:rPr>
      </w:pPr>
    </w:p>
    <w:p w14:paraId="7FBD5C14" w14:textId="1E826062" w:rsidR="00F35D26" w:rsidRPr="0011615F" w:rsidRDefault="00F35D26" w:rsidP="00F35D26">
      <w:pPr>
        <w:pStyle w:val="NormalWeb"/>
        <w:spacing w:before="0" w:beforeAutospacing="0" w:after="200" w:afterAutospacing="0"/>
        <w:rPr>
          <w:rFonts w:eastAsia="Calibri"/>
          <w:color w:val="000000" w:themeColor="text1"/>
          <w:kern w:val="24"/>
        </w:rPr>
      </w:pPr>
      <w:r>
        <w:rPr>
          <w:noProof/>
        </w:rPr>
        <w:drawing>
          <wp:inline distT="0" distB="0" distL="0" distR="0" wp14:anchorId="0AB83F7C" wp14:editId="1217BC51">
            <wp:extent cx="5727700" cy="4298315"/>
            <wp:effectExtent l="0" t="0" r="6350" b="6985"/>
            <wp:docPr id="3" name="Picture 3" descr="A graph of different types of cells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A graph of different types of cells&#10;&#10;Description automatically generated with medium confidence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7700" cy="4298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28FF47" w14:textId="77777777" w:rsidR="00F57854" w:rsidRDefault="00F57854"/>
    <w:sectPr w:rsidR="00F5785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5D26"/>
    <w:rsid w:val="00107C3D"/>
    <w:rsid w:val="001E338F"/>
    <w:rsid w:val="00366015"/>
    <w:rsid w:val="003B43BB"/>
    <w:rsid w:val="00431721"/>
    <w:rsid w:val="00576ACB"/>
    <w:rsid w:val="005A5BD3"/>
    <w:rsid w:val="005B5961"/>
    <w:rsid w:val="00864B5C"/>
    <w:rsid w:val="008B6D0F"/>
    <w:rsid w:val="009449BD"/>
    <w:rsid w:val="009C1BDE"/>
    <w:rsid w:val="00A85513"/>
    <w:rsid w:val="00AE0791"/>
    <w:rsid w:val="00CB67B7"/>
    <w:rsid w:val="00DD64DF"/>
    <w:rsid w:val="00DD6CA6"/>
    <w:rsid w:val="00E90E71"/>
    <w:rsid w:val="00EA592B"/>
    <w:rsid w:val="00F105A3"/>
    <w:rsid w:val="00F23E7C"/>
    <w:rsid w:val="00F35D26"/>
    <w:rsid w:val="00F4294C"/>
    <w:rsid w:val="00F57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C184FBD"/>
  <w15:chartTrackingRefBased/>
  <w15:docId w15:val="{58D894AE-DDD5-EF48-AD84-EDCC9EEE75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35D26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en-GB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.dotm" TargetMode="External"/></Relationships>
</file>

<file path=word/theme/theme1.xml><?xml version="1.0" encoding="utf-8"?>
<a:theme xmlns:a="http://schemas.openxmlformats.org/drawingml/2006/main" name="Office Theme 2013 - 2022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</Words>
  <Characters>367</Characters>
  <Application>Microsoft Office Word</Application>
  <DocSecurity>0</DocSecurity>
  <Lines>7</Lines>
  <Paragraphs>2</Paragraphs>
  <ScaleCrop>false</ScaleCrop>
  <Company/>
  <LinksUpToDate>false</LinksUpToDate>
  <CharactersWithSpaces>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Claire Mahaffey</dc:creator>
  <cp:keywords/>
  <dc:description/>
  <cp:lastModifiedBy>Mahaffey, Claire</cp:lastModifiedBy>
  <cp:revision>1</cp:revision>
  <dcterms:created xsi:type="dcterms:W3CDTF">2024-07-30T11:39:00Z</dcterms:created>
  <dcterms:modified xsi:type="dcterms:W3CDTF">2024-07-30T11:39:00Z</dcterms:modified>
</cp:coreProperties>
</file>